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8B" w:rsidRPr="006F72CA" w:rsidRDefault="00801E8B" w:rsidP="00687693">
      <w:pPr>
        <w:spacing w:after="120" w:line="240" w:lineRule="auto"/>
        <w:jc w:val="both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PERFORM 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4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 Steering Committee</w:t>
      </w: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 meeting</w:t>
      </w: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April 12</w:t>
      </w:r>
      <w:r w:rsidRPr="006F72C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C60618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,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2017</w:t>
      </w:r>
    </w:p>
    <w:p w:rsidR="00C60618" w:rsidRPr="006F72CA" w:rsidRDefault="00C60618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24"/>
          <w:szCs w:val="24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24"/>
          <w:szCs w:val="24"/>
          <w:lang w:val="en-GB"/>
        </w:rPr>
        <w:t>St Paul's Learning &amp; Family Centre, St Paul's, Bristol</w:t>
      </w: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6F72CA">
        <w:rPr>
          <w:rFonts w:ascii="Cambria" w:hAnsi="Cambria"/>
          <w:b/>
          <w:sz w:val="28"/>
          <w:szCs w:val="28"/>
          <w:lang w:val="en-GB"/>
        </w:rPr>
        <w:t>MINUTES</w:t>
      </w:r>
    </w:p>
    <w:p w:rsidR="00801E8B" w:rsidRPr="006F72CA" w:rsidRDefault="008C4986" w:rsidP="00687693">
      <w:pPr>
        <w:spacing w:after="0" w:line="480" w:lineRule="auto"/>
        <w:jc w:val="both"/>
        <w:rPr>
          <w:b/>
          <w:u w:val="single"/>
          <w:vertAlign w:val="superscript"/>
          <w:lang w:val="en-GB"/>
        </w:rPr>
      </w:pPr>
      <w:r w:rsidRPr="006F72CA">
        <w:rPr>
          <w:b/>
          <w:u w:val="single"/>
          <w:lang w:val="en-GB"/>
        </w:rPr>
        <w:t>Time</w:t>
      </w:r>
    </w:p>
    <w:p w:rsidR="00E85D23" w:rsidRPr="006F72CA" w:rsidRDefault="00E85D23" w:rsidP="00687693">
      <w:pPr>
        <w:spacing w:after="0" w:line="480" w:lineRule="auto"/>
        <w:jc w:val="both"/>
        <w:rPr>
          <w:b/>
          <w:lang w:val="en-GB"/>
        </w:rPr>
      </w:pPr>
      <w:r w:rsidRPr="006F72CA">
        <w:rPr>
          <w:lang w:val="en-GB"/>
        </w:rPr>
        <w:t>11h</w:t>
      </w:r>
      <w:r w:rsidR="00535E2B" w:rsidRPr="006F72CA">
        <w:rPr>
          <w:lang w:val="en-GB"/>
        </w:rPr>
        <w:t>30</w:t>
      </w:r>
      <w:r w:rsidRPr="006F72CA">
        <w:rPr>
          <w:lang w:val="en-GB"/>
        </w:rPr>
        <w:t>-13h</w:t>
      </w:r>
    </w:p>
    <w:p w:rsidR="00801E8B" w:rsidRPr="006F72CA" w:rsidRDefault="008C4986" w:rsidP="00687693">
      <w:pPr>
        <w:spacing w:after="0" w:line="480" w:lineRule="auto"/>
        <w:jc w:val="both"/>
        <w:rPr>
          <w:b/>
          <w:u w:val="single"/>
          <w:lang w:val="en-GB"/>
        </w:rPr>
      </w:pPr>
      <w:r w:rsidRPr="006F72CA">
        <w:rPr>
          <w:b/>
          <w:u w:val="single"/>
          <w:lang w:val="en-GB"/>
        </w:rPr>
        <w:t>Participants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WP1 / Coordination team: Isabel Ruiz, Marina Di Masso</w:t>
      </w:r>
      <w:r w:rsidR="00535E2B" w:rsidRPr="006F72CA">
        <w:rPr>
          <w:lang w:val="en-GB"/>
        </w:rPr>
        <w:t xml:space="preserve"> (UOC)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WP2: Oriol Marimon, Helena González</w:t>
      </w:r>
      <w:r w:rsidR="00535E2B" w:rsidRPr="006F72CA">
        <w:rPr>
          <w:lang w:val="en-GB"/>
        </w:rPr>
        <w:t xml:space="preserve"> (TBVT)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WP3: Mireia Bes</w:t>
      </w:r>
      <w:r w:rsidR="00535E2B" w:rsidRPr="006F72CA">
        <w:rPr>
          <w:lang w:val="en-GB"/>
        </w:rPr>
        <w:t xml:space="preserve"> (UoB)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 xml:space="preserve">WP4: María Heras </w:t>
      </w:r>
      <w:r w:rsidR="00535E2B" w:rsidRPr="006F72CA">
        <w:rPr>
          <w:lang w:val="en-GB"/>
        </w:rPr>
        <w:t xml:space="preserve"> (UAB)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WP5: Casimiro Vizzini</w:t>
      </w:r>
      <w:r w:rsidR="00535E2B" w:rsidRPr="006F72CA">
        <w:rPr>
          <w:lang w:val="en-GB"/>
        </w:rPr>
        <w:t xml:space="preserve"> (UNESCO)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 xml:space="preserve">WP6: Andrea </w:t>
      </w:r>
      <w:r w:rsidR="00EE5348" w:rsidRPr="006F72CA">
        <w:rPr>
          <w:lang w:val="en-GB"/>
        </w:rPr>
        <w:t>Troncoso</w:t>
      </w:r>
      <w:r w:rsidR="00535E2B" w:rsidRPr="006F72CA">
        <w:rPr>
          <w:lang w:val="en-GB"/>
        </w:rPr>
        <w:t xml:space="preserve"> (EUSEA)</w:t>
      </w:r>
    </w:p>
    <w:p w:rsidR="008C4986" w:rsidRPr="006F72CA" w:rsidRDefault="008C4986" w:rsidP="00687693">
      <w:pPr>
        <w:spacing w:after="0" w:line="480" w:lineRule="auto"/>
        <w:jc w:val="both"/>
        <w:rPr>
          <w:b/>
          <w:u w:val="single"/>
          <w:lang w:val="en-GB"/>
        </w:rPr>
      </w:pPr>
      <w:r w:rsidRPr="006F72CA">
        <w:rPr>
          <w:b/>
          <w:u w:val="single"/>
          <w:lang w:val="en-GB"/>
        </w:rPr>
        <w:t>Agenda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Preparation of the </w:t>
      </w:r>
      <w:r w:rsidR="008C3DAC" w:rsidRPr="006F72CA">
        <w:rPr>
          <w:lang w:val="en-GB"/>
        </w:rPr>
        <w:t xml:space="preserve">interim report </w:t>
      </w:r>
      <w:r w:rsidR="008C3DAC" w:rsidRPr="006F72CA">
        <w:rPr>
          <w:b/>
          <w:bCs/>
          <w:lang w:val="en-GB"/>
        </w:rPr>
        <w:t>review</w:t>
      </w:r>
      <w:r w:rsidRPr="006F72CA">
        <w:rPr>
          <w:b/>
          <w:bCs/>
          <w:lang w:val="en-GB"/>
        </w:rPr>
        <w:t xml:space="preserve"> meeting </w:t>
      </w:r>
      <w:r w:rsidRPr="006F72CA">
        <w:rPr>
          <w:lang w:val="en-GB"/>
        </w:rPr>
        <w:t>with th</w:t>
      </w:r>
      <w:r w:rsidR="008C3DAC" w:rsidRPr="006F72CA">
        <w:rPr>
          <w:lang w:val="en-GB"/>
        </w:rPr>
        <w:t>e P.O. and external reviewer (</w:t>
      </w:r>
      <w:r w:rsidRPr="006F72CA">
        <w:rPr>
          <w:lang w:val="en-GB"/>
        </w:rPr>
        <w:t>April 26</w:t>
      </w:r>
      <w:r w:rsidRPr="006F72CA">
        <w:rPr>
          <w:vertAlign w:val="superscript"/>
          <w:lang w:val="en-GB"/>
        </w:rPr>
        <w:t>th</w:t>
      </w:r>
      <w:r w:rsidR="008C3DAC" w:rsidRPr="006F72CA">
        <w:rPr>
          <w:lang w:val="en-GB"/>
        </w:rPr>
        <w:t>)</w:t>
      </w:r>
    </w:p>
    <w:p w:rsidR="008C3DAC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Each WP leader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make a 10' presentation</w:t>
      </w:r>
      <w:r w:rsidR="00535E2B" w:rsidRPr="006F72CA">
        <w:rPr>
          <w:lang w:val="en-GB"/>
        </w:rPr>
        <w:t>, including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pictures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reducing text.</w:t>
      </w:r>
    </w:p>
    <w:p w:rsidR="008C3DAC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will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send a template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for the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review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meeting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presentation.</w:t>
      </w:r>
    </w:p>
    <w:p w:rsidR="008C3DAC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UOC </w:t>
      </w:r>
      <w:r w:rsidR="00535E2B" w:rsidRPr="006F72CA">
        <w:rPr>
          <w:lang w:val="en-GB"/>
        </w:rPr>
        <w:t>Research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Vicerector will be invited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by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coordinator</w:t>
      </w:r>
      <w:r w:rsidRPr="006F72CA">
        <w:rPr>
          <w:lang w:val="en-GB"/>
        </w:rPr>
        <w:t>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b/>
          <w:bCs/>
          <w:lang w:val="en-GB"/>
        </w:rPr>
        <w:t>A</w:t>
      </w:r>
      <w:r w:rsidR="006F72CA">
        <w:rPr>
          <w:b/>
          <w:bCs/>
          <w:lang w:val="en-GB"/>
        </w:rPr>
        <w:t xml:space="preserve">dvisory Board </w:t>
      </w:r>
      <w:r w:rsidRPr="006F72CA">
        <w:rPr>
          <w:b/>
          <w:bCs/>
          <w:lang w:val="en-GB"/>
        </w:rPr>
        <w:t>evaluation process</w:t>
      </w:r>
      <w:r w:rsidR="008C3DAC" w:rsidRPr="006F72CA">
        <w:rPr>
          <w:lang w:val="en-GB"/>
        </w:rPr>
        <w:t>: s</w:t>
      </w:r>
      <w:r w:rsidRPr="006F72CA">
        <w:rPr>
          <w:lang w:val="en-GB"/>
        </w:rPr>
        <w:t>election of deliverables to send to each member, timing, guidelines for the evaluation</w:t>
      </w:r>
    </w:p>
    <w:p w:rsidR="00535E2B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By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end of April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each WP leader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send to the CT a proposal of deliverables to be sent to each AB member.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interim report will be sent to all AB members.</w:t>
      </w:r>
    </w:p>
    <w:p w:rsidR="008C3DAC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Each WP will be assessed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by 2 AB members.</w:t>
      </w:r>
    </w:p>
    <w:p w:rsidR="008C3DAC" w:rsidRPr="006F72CA" w:rsidRDefault="008C3DA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UOC will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send a proposal of evaluation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criteria</w:t>
      </w:r>
      <w:r w:rsidR="00535E2B" w:rsidRPr="006F72CA">
        <w:rPr>
          <w:lang w:val="en-GB"/>
        </w:rPr>
        <w:t>, including RRI</w:t>
      </w:r>
      <w:r w:rsidR="00822079">
        <w:rPr>
          <w:lang w:val="en-GB"/>
        </w:rPr>
        <w:t xml:space="preserve"> </w:t>
      </w:r>
      <w:r w:rsidR="00535E2B" w:rsidRPr="006F72CA">
        <w:rPr>
          <w:lang w:val="en-GB"/>
        </w:rPr>
        <w:t>indicators,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for the AB to follow.</w:t>
      </w:r>
    </w:p>
    <w:p w:rsidR="00D439EC" w:rsidRPr="006F72CA" w:rsidRDefault="00D439EC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Other materials to be sent to the AB are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suggested: 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review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meeting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presentations.</w:t>
      </w:r>
    </w:p>
    <w:p w:rsidR="00FD3E97" w:rsidRPr="006F72CA" w:rsidRDefault="00FD3E97" w:rsidP="00687693">
      <w:pPr>
        <w:spacing w:line="276" w:lineRule="auto"/>
        <w:ind w:left="360"/>
        <w:jc w:val="both"/>
        <w:rPr>
          <w:lang w:val="en-GB"/>
        </w:rPr>
      </w:pP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WP2-WP3-WP4 coordination of </w:t>
      </w:r>
      <w:r w:rsidRPr="006F72CA">
        <w:rPr>
          <w:b/>
          <w:bCs/>
          <w:lang w:val="en-GB"/>
        </w:rPr>
        <w:t>activities in each case study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lastRenderedPageBreak/>
        <w:t>A monthly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of activities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developed in each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case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study is agreed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amongst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involved WP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leader</w:t>
      </w:r>
      <w:r w:rsidRPr="006F72CA">
        <w:rPr>
          <w:lang w:val="en-GB"/>
        </w:rPr>
        <w:t>s.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Each WP leader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will</w:t>
      </w:r>
      <w:r w:rsidR="005E2558">
        <w:rPr>
          <w:lang w:val="en-GB"/>
        </w:rPr>
        <w:t xml:space="preserve"> t</w:t>
      </w:r>
      <w:r w:rsidR="00535E2B" w:rsidRPr="006F72CA">
        <w:rPr>
          <w:lang w:val="en-GB"/>
        </w:rPr>
        <w:t>hus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compile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related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activities in each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case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study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share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this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information </w:t>
      </w:r>
      <w:r w:rsidR="005E2558">
        <w:rPr>
          <w:lang w:val="en-GB"/>
        </w:rPr>
        <w:t>with</w:t>
      </w:r>
      <w:r w:rsidR="00535E2B" w:rsidRPr="006F72CA">
        <w:rPr>
          <w:lang w:val="en-GB"/>
        </w:rPr>
        <w:t xml:space="preserve"> the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other WP leaders </w:t>
      </w:r>
      <w:r w:rsidR="005E2558">
        <w:rPr>
          <w:lang w:val="en-GB"/>
        </w:rPr>
        <w:t xml:space="preserve">in order </w:t>
      </w:r>
      <w:r w:rsidR="00535E2B" w:rsidRPr="006F72CA">
        <w:rPr>
          <w:lang w:val="en-GB"/>
        </w:rPr>
        <w:t>to strength</w:t>
      </w:r>
      <w:r w:rsidR="005E2558">
        <w:rPr>
          <w:lang w:val="en-GB"/>
        </w:rPr>
        <w:t xml:space="preserve">en </w:t>
      </w:r>
      <w:r w:rsidR="00535E2B" w:rsidRPr="006F72CA">
        <w:rPr>
          <w:lang w:val="en-GB"/>
        </w:rPr>
        <w:t>synergies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avoid</w:t>
      </w:r>
      <w:r w:rsidR="005E2558">
        <w:rPr>
          <w:lang w:val="en-GB"/>
        </w:rPr>
        <w:t xml:space="preserve"> misunderstandings.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will be sent the 3rd Wednesday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month.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starting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conversation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rotate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amongst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institutions. WP2 (TBVT) is in charge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first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WP5 -WP6 coordination for the </w:t>
      </w:r>
      <w:r w:rsidRPr="006F72CA">
        <w:rPr>
          <w:b/>
          <w:bCs/>
          <w:lang w:val="en-GB"/>
        </w:rPr>
        <w:t>final conference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and UNESCO will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start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periodic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conversations to </w:t>
      </w:r>
      <w:r w:rsidRPr="006F72CA">
        <w:rPr>
          <w:lang w:val="en-GB"/>
        </w:rPr>
        <w:t>coordinate for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organization of the final conference</w:t>
      </w:r>
      <w:r w:rsidR="00535E2B" w:rsidRPr="006F72CA">
        <w:rPr>
          <w:lang w:val="en-GB"/>
        </w:rPr>
        <w:t>(</w:t>
      </w:r>
      <w:r w:rsidRPr="006F72CA">
        <w:rPr>
          <w:lang w:val="en-GB"/>
        </w:rPr>
        <w:t>June 2018</w:t>
      </w:r>
      <w:r w:rsidR="00535E2B" w:rsidRPr="006F72CA">
        <w:rPr>
          <w:lang w:val="en-GB"/>
        </w:rPr>
        <w:t>)</w:t>
      </w:r>
      <w:r w:rsidRPr="006F72CA">
        <w:rPr>
          <w:lang w:val="en-GB"/>
        </w:rPr>
        <w:t>.</w:t>
      </w:r>
    </w:p>
    <w:p w:rsidR="00535E2B" w:rsidRPr="006F72CA" w:rsidRDefault="00535E2B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and UNESCO 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ask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other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partners for feedback.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WP1-WP6 coordination for </w:t>
      </w:r>
      <w:r w:rsidRPr="006F72CA">
        <w:rPr>
          <w:b/>
          <w:bCs/>
          <w:lang w:val="en-GB"/>
        </w:rPr>
        <w:t>dissemination actions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EUSEA </w:t>
      </w:r>
      <w:r w:rsidR="00535E2B" w:rsidRPr="006F72CA">
        <w:rPr>
          <w:lang w:val="en-GB"/>
        </w:rPr>
        <w:t>will</w:t>
      </w:r>
      <w:r w:rsidRPr="006F72CA">
        <w:rPr>
          <w:lang w:val="en-GB"/>
        </w:rPr>
        <w:t xml:space="preserve"> be more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proactive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leading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dissemination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communication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issues.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Social media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use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guidelines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will</w:t>
      </w:r>
      <w:r w:rsidR="005E2558">
        <w:rPr>
          <w:lang w:val="en-GB"/>
        </w:rPr>
        <w:t xml:space="preserve">  </w:t>
      </w:r>
      <w:r w:rsidRPr="006F72CA">
        <w:rPr>
          <w:lang w:val="en-GB"/>
        </w:rPr>
        <w:t>be adjusted to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reality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possibilities of each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partner. </w:t>
      </w:r>
    </w:p>
    <w:p w:rsidR="00FD3E97" w:rsidRPr="006F72CA" w:rsidRDefault="00FD3E97" w:rsidP="00687693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check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its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budget in order to explore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possibility of assuming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the cost of </w:t>
      </w:r>
      <w:r w:rsidR="005E2558" w:rsidRPr="006F72CA">
        <w:rPr>
          <w:lang w:val="en-GB"/>
        </w:rPr>
        <w:t xml:space="preserve">required </w:t>
      </w:r>
      <w:r w:rsidRPr="006F72CA">
        <w:rPr>
          <w:lang w:val="en-GB"/>
        </w:rPr>
        <w:t>support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actions</w:t>
      </w:r>
      <w:r w:rsidR="005E2558">
        <w:rPr>
          <w:lang w:val="en-GB"/>
        </w:rPr>
        <w:t xml:space="preserve"> for</w:t>
      </w:r>
      <w:r w:rsidR="00535E2B" w:rsidRPr="006F72CA">
        <w:rPr>
          <w:lang w:val="en-GB"/>
        </w:rPr>
        <w:t xml:space="preserve"> partners</w:t>
      </w:r>
      <w:bookmarkStart w:id="0" w:name="_GoBack"/>
      <w:bookmarkEnd w:id="0"/>
      <w:r w:rsidRPr="006F72CA">
        <w:rPr>
          <w:lang w:val="en-GB"/>
        </w:rPr>
        <w:t xml:space="preserve"> (e.g. sending a professional photographer to an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event).</w:t>
      </w:r>
    </w:p>
    <w:p w:rsidR="00801E8B" w:rsidRPr="006F72CA" w:rsidRDefault="00801E8B" w:rsidP="00687693">
      <w:pPr>
        <w:spacing w:line="480" w:lineRule="auto"/>
        <w:jc w:val="both"/>
        <w:rPr>
          <w:lang w:val="en-GB"/>
        </w:rPr>
      </w:pPr>
    </w:p>
    <w:p w:rsidR="00801E8B" w:rsidRPr="006F72CA" w:rsidRDefault="00801E8B" w:rsidP="00687693">
      <w:pPr>
        <w:jc w:val="both"/>
        <w:rPr>
          <w:lang w:val="en-GB"/>
        </w:rPr>
      </w:pPr>
    </w:p>
    <w:p w:rsidR="00614BA8" w:rsidRPr="006F72CA" w:rsidRDefault="00C551EF" w:rsidP="00687693">
      <w:pPr>
        <w:jc w:val="both"/>
        <w:rPr>
          <w:lang w:val="en-GB"/>
        </w:rPr>
      </w:pPr>
    </w:p>
    <w:sectPr w:rsidR="00614BA8" w:rsidRPr="006F72CA" w:rsidSect="009279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EF" w:rsidRDefault="00C551EF" w:rsidP="00340441">
      <w:pPr>
        <w:spacing w:after="0" w:line="240" w:lineRule="auto"/>
      </w:pPr>
      <w:r>
        <w:separator/>
      </w:r>
    </w:p>
  </w:endnote>
  <w:endnote w:type="continuationSeparator" w:id="1">
    <w:p w:rsidR="00C551EF" w:rsidRDefault="00C551EF" w:rsidP="0034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7184"/>
      <w:docPartObj>
        <w:docPartGallery w:val="Page Numbers (Bottom of Page)"/>
        <w:docPartUnique/>
      </w:docPartObj>
    </w:sdtPr>
    <w:sdtContent>
      <w:p w:rsidR="00143D27" w:rsidRDefault="00143D27">
        <w:pPr>
          <w:pStyle w:val="Piedep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338F" w:rsidRPr="00A328A3" w:rsidRDefault="00C551EF" w:rsidP="004A338F">
    <w:pPr>
      <w:pStyle w:val="Piedep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EF" w:rsidRDefault="00C551EF" w:rsidP="00340441">
      <w:pPr>
        <w:spacing w:after="0" w:line="240" w:lineRule="auto"/>
      </w:pPr>
      <w:r>
        <w:separator/>
      </w:r>
    </w:p>
  </w:footnote>
  <w:footnote w:type="continuationSeparator" w:id="1">
    <w:p w:rsidR="00C551EF" w:rsidRDefault="00C551EF" w:rsidP="0034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48" w:rsidRDefault="00EE5348" w:rsidP="00B3141A">
    <w:pPr>
      <w:pStyle w:val="Encabezado"/>
      <w:ind w:left="708"/>
      <w:jc w:val="center"/>
    </w:pPr>
    <w:r>
      <w:rPr>
        <w:noProof/>
        <w:lang w:eastAsia="es-ES"/>
      </w:rPr>
      <w:drawing>
        <wp:inline distT="0" distB="0" distL="0" distR="0">
          <wp:extent cx="2069465" cy="942975"/>
          <wp:effectExtent l="0" t="0" r="6985" b="9525"/>
          <wp:docPr id="3" name="2 Imagen" descr="PERFORM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ORM_logo_colour.jpg"/>
                  <pic:cNvPicPr/>
                </pic:nvPicPr>
                <pic:blipFill rotWithShape="1">
                  <a:blip r:embed="rId1"/>
                  <a:srcRect b="15359"/>
                  <a:stretch/>
                </pic:blipFill>
                <pic:spPr bwMode="auto">
                  <a:xfrm>
                    <a:off x="0" y="0"/>
                    <a:ext cx="2070100" cy="943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198"/>
    <w:multiLevelType w:val="hybridMultilevel"/>
    <w:tmpl w:val="D96EEB3C"/>
    <w:lvl w:ilvl="0" w:tplc="0403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4533741"/>
    <w:multiLevelType w:val="hybridMultilevel"/>
    <w:tmpl w:val="D80286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2063F"/>
    <w:multiLevelType w:val="hybridMultilevel"/>
    <w:tmpl w:val="02EEAD2A"/>
    <w:lvl w:ilvl="0" w:tplc="19563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929D1"/>
    <w:multiLevelType w:val="hybridMultilevel"/>
    <w:tmpl w:val="BFDAB526"/>
    <w:lvl w:ilvl="0" w:tplc="2902B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E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05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C2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8B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C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F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63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E6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C032D"/>
    <w:multiLevelType w:val="hybridMultilevel"/>
    <w:tmpl w:val="2C16D7E0"/>
    <w:lvl w:ilvl="0" w:tplc="2BCEF4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">
    <w15:presenceInfo w15:providerId="None" w15:userId="Isab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E8B"/>
    <w:rsid w:val="00143D27"/>
    <w:rsid w:val="001C3EA2"/>
    <w:rsid w:val="00340441"/>
    <w:rsid w:val="003F267D"/>
    <w:rsid w:val="00427B07"/>
    <w:rsid w:val="00450F18"/>
    <w:rsid w:val="0050599D"/>
    <w:rsid w:val="00535E2B"/>
    <w:rsid w:val="00553452"/>
    <w:rsid w:val="005E2558"/>
    <w:rsid w:val="00601DB0"/>
    <w:rsid w:val="00687693"/>
    <w:rsid w:val="006F72CA"/>
    <w:rsid w:val="00801E8B"/>
    <w:rsid w:val="00822079"/>
    <w:rsid w:val="0087728B"/>
    <w:rsid w:val="008C3DAC"/>
    <w:rsid w:val="008C4986"/>
    <w:rsid w:val="00C20E2E"/>
    <w:rsid w:val="00C551EF"/>
    <w:rsid w:val="00C60618"/>
    <w:rsid w:val="00D33554"/>
    <w:rsid w:val="00D439EC"/>
    <w:rsid w:val="00E85D23"/>
    <w:rsid w:val="00EE5348"/>
    <w:rsid w:val="00FD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8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E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E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1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8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6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Marina Di Masso</cp:lastModifiedBy>
  <cp:revision>2</cp:revision>
  <dcterms:created xsi:type="dcterms:W3CDTF">2017-04-20T15:37:00Z</dcterms:created>
  <dcterms:modified xsi:type="dcterms:W3CDTF">2017-04-20T15:37:00Z</dcterms:modified>
</cp:coreProperties>
</file>