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Activities that will involve students from the selected schools.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Each of the 4 schools contacted have to participate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From January 2016 to March 2016;</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One group of 15 students (from each school) have to participate in two Focus-Working-Activities of two hours each activity (or one of 4 hours)</w:t>
      </w:r>
    </w:p>
    <w:p w:rsidR="00000000" w:rsidDel="00000000" w:rsidP="00000000" w:rsidRDefault="00000000" w:rsidRPr="00000000">
      <w:pPr>
        <w:contextualSpacing w:val="0"/>
      </w:pPr>
      <w:r w:rsidDel="00000000" w:rsidR="00000000" w:rsidRPr="00000000">
        <w:rPr>
          <w:sz w:val="24"/>
          <w:szCs w:val="24"/>
          <w:rtl w:val="0"/>
        </w:rPr>
        <w:t xml:space="preserve">From May 2016 to July 2016 (May be postponed until October 2016);</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Students involved in the Focus-Working-Activities have to participate as audience of the PERSEIA generated by the Case Study Coordinator.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 of the 4 schools contacted have to participate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From January 2017 to July 2017</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One group of 30 students (from each school) have to participate in 5 workshops with the Case Study Coordinators and Early Career Researchers.</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A group of volunteer students, which participated in the workshops, have to design and rehearse, with the assistance of their teachers and the advice of the Case Study Coordinator, their own PERSEIA.</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Volunteer students have to deliver their PERSEIA in their own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The other 2 of the 4 schools contacted have to participate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From January 2018 to July 2018</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One group of 30 students (from each school) have to participate in 5 workshops with the Case Study Coordinators and Early Career Researchers.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A group of volunteer students have to design and rehearse, with the assistance of their teachers and the guidelines of the Case Study Coordinator, their own PERSEIA</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Volunteer students have to deliver their PERSEIA in their own school.</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